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78" w:rsidRPr="00F74563" w:rsidRDefault="00F35878" w:rsidP="00F74563">
      <w:pPr>
        <w:pStyle w:val="Default"/>
        <w:spacing w:line="276" w:lineRule="auto"/>
        <w:rPr>
          <w:rFonts w:asciiTheme="minorEastAsia" w:eastAsiaTheme="minorEastAsia" w:hAnsiTheme="minorEastAsia"/>
        </w:rPr>
      </w:pPr>
    </w:p>
    <w:p w:rsidR="00F74563" w:rsidRPr="00F74563" w:rsidRDefault="00F74563" w:rsidP="00F74563">
      <w:pPr>
        <w:pStyle w:val="Default"/>
        <w:spacing w:line="276" w:lineRule="auto"/>
        <w:jc w:val="center"/>
        <w:rPr>
          <w:rFonts w:asciiTheme="minorEastAsia" w:eastAsiaTheme="minorEastAsia" w:hAnsiTheme="minorEastAsia"/>
          <w:b/>
          <w:sz w:val="30"/>
          <w:szCs w:val="30"/>
        </w:rPr>
      </w:pPr>
      <w:r w:rsidRPr="00F74563">
        <w:rPr>
          <w:rFonts w:asciiTheme="minorEastAsia" w:eastAsiaTheme="minorEastAsia" w:hAnsiTheme="minorEastAsia" w:hint="eastAsia"/>
          <w:b/>
          <w:sz w:val="30"/>
          <w:szCs w:val="30"/>
        </w:rPr>
        <w:t>项目融资顾问合同书</w:t>
      </w:r>
    </w:p>
    <w:p w:rsidR="00F74563" w:rsidRPr="00F74563" w:rsidRDefault="00F74563" w:rsidP="00F74563">
      <w:pPr>
        <w:pStyle w:val="Default"/>
        <w:spacing w:line="276" w:lineRule="auto"/>
        <w:rPr>
          <w:rFonts w:asciiTheme="minorEastAsia" w:eastAsiaTheme="minorEastAsia" w:hAnsiTheme="minorEastAsia"/>
        </w:rPr>
      </w:pPr>
    </w:p>
    <w:p w:rsidR="00F35878" w:rsidRPr="00F74563" w:rsidRDefault="003C19DA" w:rsidP="00F74563">
      <w:pPr>
        <w:pStyle w:val="Default"/>
        <w:spacing w:line="276" w:lineRule="auto"/>
        <w:rPr>
          <w:rFonts w:asciiTheme="minorEastAsia" w:eastAsiaTheme="minorEastAsia" w:hAnsiTheme="minorEastAsia" w:cs="Times New Roman"/>
          <w:color w:val="auto"/>
          <w:kern w:val="2"/>
        </w:rPr>
      </w:pPr>
      <w:r w:rsidRPr="00F74563">
        <w:rPr>
          <w:rFonts w:asciiTheme="minorEastAsia" w:eastAsiaTheme="minorEastAsia" w:hAnsiTheme="minorEastAsia" w:hint="eastAsia"/>
        </w:rPr>
        <w:t>甲方（委托方）：</w:t>
      </w:r>
      <w:r w:rsidR="00F74563" w:rsidRPr="00F74563">
        <w:rPr>
          <w:rFonts w:asciiTheme="minorEastAsia" w:eastAsiaTheme="minorEastAsia" w:hAnsiTheme="minorEastAsia" w:hint="eastAsia"/>
        </w:rPr>
        <w:t xml:space="preserve">              有限公司（项目或</w:t>
      </w:r>
      <w:r w:rsidR="004740C7">
        <w:rPr>
          <w:rFonts w:asciiTheme="minorEastAsia" w:eastAsiaTheme="minorEastAsia" w:hAnsiTheme="minorEastAsia" w:hint="eastAsia"/>
        </w:rPr>
        <w:t>临床</w:t>
      </w:r>
      <w:r w:rsidR="00F74563" w:rsidRPr="00F74563">
        <w:rPr>
          <w:rFonts w:asciiTheme="minorEastAsia" w:eastAsiaTheme="minorEastAsia" w:hAnsiTheme="minorEastAsia" w:hint="eastAsia"/>
        </w:rPr>
        <w:t>批件持有方）</w:t>
      </w:r>
    </w:p>
    <w:p w:rsidR="00F35878" w:rsidRPr="00F74563" w:rsidRDefault="003C19DA"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地址：</w:t>
      </w:r>
    </w:p>
    <w:p w:rsidR="00F35878" w:rsidRPr="00F74563" w:rsidRDefault="003C19DA"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法定代表人：</w:t>
      </w:r>
    </w:p>
    <w:p w:rsidR="00F35878" w:rsidRPr="00F74563" w:rsidRDefault="00F35878" w:rsidP="00F74563">
      <w:pPr>
        <w:spacing w:line="276" w:lineRule="auto"/>
        <w:ind w:firstLineChars="200" w:firstLine="480"/>
        <w:rPr>
          <w:rFonts w:asciiTheme="minorEastAsia" w:eastAsiaTheme="minorEastAsia" w:hAnsiTheme="minorEastAsia"/>
          <w:sz w:val="24"/>
        </w:rPr>
      </w:pPr>
    </w:p>
    <w:p w:rsidR="00F35878" w:rsidRPr="00F74563" w:rsidRDefault="003C19DA" w:rsidP="00F74563">
      <w:pPr>
        <w:pStyle w:val="Default"/>
        <w:spacing w:line="276" w:lineRule="auto"/>
        <w:rPr>
          <w:rFonts w:asciiTheme="minorEastAsia" w:eastAsiaTheme="minorEastAsia" w:hAnsiTheme="minorEastAsia" w:cs="Times New Roman"/>
          <w:color w:val="auto"/>
          <w:kern w:val="2"/>
        </w:rPr>
      </w:pPr>
      <w:r w:rsidRPr="00F74563">
        <w:rPr>
          <w:rFonts w:asciiTheme="minorEastAsia" w:eastAsiaTheme="minorEastAsia" w:hAnsiTheme="minorEastAsia" w:hint="eastAsia"/>
        </w:rPr>
        <w:t>乙方（受托方）：</w:t>
      </w:r>
      <w:r w:rsidR="00F74563" w:rsidRPr="00F74563">
        <w:rPr>
          <w:rFonts w:asciiTheme="minorEastAsia" w:eastAsiaTheme="minorEastAsia" w:hAnsiTheme="minorEastAsia" w:hint="eastAsia"/>
        </w:rPr>
        <w:t>广州市南派企业管理咨询有限公司</w:t>
      </w:r>
    </w:p>
    <w:p w:rsidR="002317AF" w:rsidRDefault="002317AF" w:rsidP="00F74563">
      <w:pPr>
        <w:spacing w:line="276" w:lineRule="auto"/>
        <w:rPr>
          <w:rFonts w:asciiTheme="minorEastAsia" w:eastAsiaTheme="minorEastAsia" w:hAnsiTheme="minorEastAsia" w:hint="eastAsia"/>
          <w:sz w:val="24"/>
        </w:rPr>
      </w:pPr>
    </w:p>
    <w:p w:rsidR="00F35878" w:rsidRPr="00F74563" w:rsidRDefault="003C19DA"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法定代表人：</w:t>
      </w:r>
      <w:r w:rsidR="00F74563" w:rsidRPr="00F74563">
        <w:rPr>
          <w:rFonts w:asciiTheme="minorEastAsia" w:eastAsiaTheme="minorEastAsia" w:hAnsiTheme="minorEastAsia" w:hint="eastAsia"/>
          <w:sz w:val="24"/>
        </w:rPr>
        <w:t>丁伟华  电话：18620885799</w:t>
      </w:r>
    </w:p>
    <w:p w:rsidR="00F35878" w:rsidRPr="00F74563" w:rsidRDefault="00F35878" w:rsidP="00F74563">
      <w:pPr>
        <w:spacing w:line="276" w:lineRule="auto"/>
        <w:rPr>
          <w:rFonts w:asciiTheme="minorEastAsia" w:eastAsiaTheme="minorEastAsia" w:hAnsiTheme="minorEastAsia"/>
          <w:sz w:val="24"/>
        </w:rPr>
      </w:pPr>
    </w:p>
    <w:p w:rsidR="00F35878" w:rsidRDefault="003C19DA"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丙方（委托方）:</w:t>
      </w:r>
      <w:r w:rsidR="00F74563" w:rsidRPr="00F74563">
        <w:rPr>
          <w:rFonts w:asciiTheme="minorEastAsia" w:eastAsiaTheme="minorEastAsia" w:hAnsiTheme="minorEastAsia" w:hint="eastAsia"/>
          <w:sz w:val="24"/>
        </w:rPr>
        <w:t xml:space="preserve">    </w:t>
      </w:r>
      <w:r w:rsidR="00F74563">
        <w:rPr>
          <w:rFonts w:asciiTheme="minorEastAsia" w:eastAsiaTheme="minorEastAsia" w:hAnsiTheme="minorEastAsia" w:hint="eastAsia"/>
          <w:sz w:val="24"/>
        </w:rPr>
        <w:t xml:space="preserve">              </w:t>
      </w:r>
      <w:r w:rsidR="00F74563" w:rsidRPr="00F74563">
        <w:rPr>
          <w:rFonts w:asciiTheme="minorEastAsia" w:eastAsiaTheme="minorEastAsia" w:hAnsiTheme="minorEastAsia" w:hint="eastAsia"/>
          <w:sz w:val="24"/>
        </w:rPr>
        <w:t xml:space="preserve">      </w:t>
      </w:r>
      <w:r w:rsidR="00F74563">
        <w:rPr>
          <w:rFonts w:asciiTheme="minorEastAsia" w:eastAsiaTheme="minorEastAsia" w:hAnsiTheme="minorEastAsia" w:hint="eastAsia"/>
          <w:sz w:val="24"/>
        </w:rPr>
        <w:t>（甲方实际控制人或股东代表）</w:t>
      </w:r>
    </w:p>
    <w:p w:rsidR="00560792" w:rsidRPr="00F74563" w:rsidRDefault="00560792" w:rsidP="00F74563">
      <w:pPr>
        <w:spacing w:line="276" w:lineRule="auto"/>
        <w:rPr>
          <w:rFonts w:asciiTheme="minorEastAsia" w:eastAsiaTheme="minorEastAsia" w:hAnsiTheme="minorEastAsia"/>
          <w:sz w:val="24"/>
        </w:rPr>
      </w:pPr>
    </w:p>
    <w:p w:rsidR="00F35878" w:rsidRDefault="00F74563"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信用代码或</w:t>
      </w:r>
      <w:r w:rsidR="003C19DA" w:rsidRPr="00F74563">
        <w:rPr>
          <w:rFonts w:asciiTheme="minorEastAsia" w:eastAsiaTheme="minorEastAsia" w:hAnsiTheme="minorEastAsia" w:hint="eastAsia"/>
          <w:sz w:val="24"/>
        </w:rPr>
        <w:t>身份证号：</w:t>
      </w:r>
    </w:p>
    <w:p w:rsidR="00560792" w:rsidRDefault="00560792" w:rsidP="00F74563">
      <w:pPr>
        <w:spacing w:line="276" w:lineRule="auto"/>
        <w:rPr>
          <w:rFonts w:asciiTheme="minorEastAsia" w:eastAsiaTheme="minorEastAsia" w:hAnsiTheme="minorEastAsia"/>
          <w:sz w:val="24"/>
        </w:rPr>
      </w:pPr>
      <w:r>
        <w:rPr>
          <w:rFonts w:asciiTheme="minorEastAsia" w:eastAsiaTheme="minorEastAsia" w:hAnsiTheme="minorEastAsia" w:hint="eastAsia"/>
          <w:sz w:val="24"/>
        </w:rPr>
        <w:t>地址：</w:t>
      </w:r>
    </w:p>
    <w:p w:rsidR="00560792" w:rsidRPr="00F74563" w:rsidRDefault="00560792" w:rsidP="00F74563">
      <w:pPr>
        <w:spacing w:line="276" w:lineRule="auto"/>
        <w:rPr>
          <w:rFonts w:asciiTheme="minorEastAsia" w:eastAsiaTheme="minorEastAsia" w:hAnsiTheme="minorEastAsia"/>
          <w:sz w:val="24"/>
        </w:rPr>
      </w:pPr>
      <w:r>
        <w:rPr>
          <w:rFonts w:asciiTheme="minorEastAsia" w:eastAsiaTheme="minorEastAsia" w:hAnsiTheme="minorEastAsia" w:hint="eastAsia"/>
          <w:sz w:val="24"/>
        </w:rPr>
        <w:t>代表：</w:t>
      </w:r>
    </w:p>
    <w:p w:rsidR="00F35878" w:rsidRPr="00F74563" w:rsidRDefault="00F35878" w:rsidP="00F74563">
      <w:pPr>
        <w:spacing w:line="276" w:lineRule="auto"/>
        <w:rPr>
          <w:rFonts w:asciiTheme="minorEastAsia" w:eastAsiaTheme="minorEastAsia" w:hAnsiTheme="minorEastAsia"/>
          <w:sz w:val="24"/>
        </w:rPr>
      </w:pPr>
    </w:p>
    <w:p w:rsidR="00F35878" w:rsidRPr="00F74563" w:rsidRDefault="003C19DA" w:rsidP="00F74563">
      <w:pPr>
        <w:spacing w:line="276" w:lineRule="auto"/>
        <w:rPr>
          <w:rFonts w:asciiTheme="minorEastAsia" w:eastAsiaTheme="minorEastAsia" w:hAnsiTheme="minorEastAsia"/>
          <w:sz w:val="24"/>
        </w:rPr>
      </w:pPr>
      <w:r w:rsidRPr="00F74563">
        <w:rPr>
          <w:rFonts w:asciiTheme="minorEastAsia" w:eastAsiaTheme="minorEastAsia" w:hAnsiTheme="minorEastAsia" w:hint="eastAsia"/>
          <w:sz w:val="24"/>
        </w:rPr>
        <w:t>鉴于：</w:t>
      </w:r>
    </w:p>
    <w:p w:rsidR="00F35878" w:rsidRPr="004740C7" w:rsidRDefault="003C19DA" w:rsidP="004740C7">
      <w:pPr>
        <w:pStyle w:val="a9"/>
        <w:numPr>
          <w:ilvl w:val="0"/>
          <w:numId w:val="3"/>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甲方系指</w:t>
      </w:r>
      <w:r w:rsidR="00F74563" w:rsidRPr="004740C7">
        <w:rPr>
          <w:rFonts w:asciiTheme="minorEastAsia" w:eastAsiaTheme="minorEastAsia" w:hAnsiTheme="minorEastAsia" w:hint="eastAsia"/>
          <w:sz w:val="24"/>
          <w:u w:val="single"/>
        </w:rPr>
        <w:t xml:space="preserve">        </w:t>
      </w:r>
      <w:r w:rsidR="00F74563" w:rsidRPr="004740C7">
        <w:rPr>
          <w:rFonts w:asciiTheme="minorEastAsia" w:eastAsiaTheme="minorEastAsia" w:hAnsiTheme="minorEastAsia" w:hint="eastAsia"/>
          <w:sz w:val="24"/>
        </w:rPr>
        <w:t>有限公司，正在对</w:t>
      </w:r>
      <w:r w:rsidR="00F74563" w:rsidRPr="004740C7">
        <w:rPr>
          <w:rFonts w:asciiTheme="minorEastAsia" w:eastAsiaTheme="minorEastAsia" w:hAnsiTheme="minorEastAsia" w:hint="eastAsia"/>
          <w:sz w:val="24"/>
          <w:u w:val="single"/>
        </w:rPr>
        <w:t xml:space="preserve">         </w:t>
      </w:r>
      <w:r w:rsidR="00F74563" w:rsidRPr="004740C7">
        <w:rPr>
          <w:rFonts w:asciiTheme="minorEastAsia" w:eastAsiaTheme="minorEastAsia" w:hAnsiTheme="minorEastAsia" w:hint="eastAsia"/>
          <w:sz w:val="24"/>
        </w:rPr>
        <w:t>项目或产品进行</w:t>
      </w:r>
      <w:r w:rsidRPr="004740C7">
        <w:rPr>
          <w:rFonts w:asciiTheme="minorEastAsia" w:eastAsiaTheme="minorEastAsia" w:hAnsiTheme="minorEastAsia" w:hint="eastAsia"/>
          <w:sz w:val="24"/>
        </w:rPr>
        <w:t>融资，拟委托乙方作为甲方的融资顾问机构，协助甲方完成融资。</w:t>
      </w:r>
    </w:p>
    <w:p w:rsidR="00F35878" w:rsidRPr="004740C7" w:rsidRDefault="003C19DA" w:rsidP="004740C7">
      <w:pPr>
        <w:pStyle w:val="a9"/>
        <w:numPr>
          <w:ilvl w:val="0"/>
          <w:numId w:val="3"/>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乙方拥有专业财务顾问服务团队，在境内外有较多资金方资源，甲方认可乙方的专业顾问能力，乙方同意接受甲方委托。</w:t>
      </w:r>
    </w:p>
    <w:p w:rsidR="00F35878" w:rsidRPr="004740C7" w:rsidRDefault="000A7124" w:rsidP="004740C7">
      <w:pPr>
        <w:pStyle w:val="a9"/>
        <w:numPr>
          <w:ilvl w:val="0"/>
          <w:numId w:val="3"/>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丙方是甲方实际控制人，即甲方公司</w:t>
      </w:r>
      <w:r w:rsidR="00F74563" w:rsidRPr="004740C7">
        <w:rPr>
          <w:rFonts w:asciiTheme="minorEastAsia" w:eastAsiaTheme="minorEastAsia" w:hAnsiTheme="minorEastAsia" w:hint="eastAsia"/>
          <w:sz w:val="24"/>
        </w:rPr>
        <w:t>全部股东或股东代表等</w:t>
      </w:r>
    </w:p>
    <w:p w:rsidR="00F35878" w:rsidRPr="004740C7" w:rsidRDefault="003C19DA" w:rsidP="004740C7">
      <w:pPr>
        <w:pStyle w:val="Default"/>
        <w:numPr>
          <w:ilvl w:val="0"/>
          <w:numId w:val="3"/>
        </w:numPr>
        <w:spacing w:line="276" w:lineRule="auto"/>
        <w:jc w:val="both"/>
        <w:rPr>
          <w:rFonts w:asciiTheme="minorEastAsia" w:eastAsiaTheme="minorEastAsia" w:hAnsiTheme="minorEastAsia"/>
        </w:rPr>
      </w:pPr>
      <w:r w:rsidRPr="00F74563">
        <w:rPr>
          <w:rFonts w:asciiTheme="minorEastAsia" w:eastAsiaTheme="minorEastAsia" w:hAnsiTheme="minorEastAsia" w:hint="eastAsia"/>
        </w:rPr>
        <w:t>甲、乙、丙方经友好协商，在平等自愿、互惠互利的基础上，就融资顾问合作事宜达成如下协议，以兹共同信守。</w:t>
      </w:r>
    </w:p>
    <w:p w:rsidR="00F35878"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融资顾问服务内容</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乙方负责为甲方引荐、介绍合适的资金方，并负责协助甲方完成融资（包括但不限于直接投资、</w:t>
      </w:r>
      <w:r w:rsidR="000A7124">
        <w:rPr>
          <w:rFonts w:asciiTheme="minorEastAsia" w:eastAsiaTheme="minorEastAsia" w:hAnsiTheme="minorEastAsia" w:hint="eastAsia"/>
          <w:sz w:val="24"/>
        </w:rPr>
        <w:t>借贷、股权</w:t>
      </w:r>
      <w:r w:rsidRPr="00F74563">
        <w:rPr>
          <w:rFonts w:asciiTheme="minorEastAsia" w:eastAsiaTheme="minorEastAsia" w:hAnsiTheme="minorEastAsia" w:hint="eastAsia"/>
          <w:sz w:val="24"/>
        </w:rPr>
        <w:t>并购和债权融资</w:t>
      </w:r>
      <w:r w:rsidR="000A7124">
        <w:rPr>
          <w:rFonts w:asciiTheme="minorEastAsia" w:eastAsiaTheme="minorEastAsia" w:hAnsiTheme="minorEastAsia" w:hint="eastAsia"/>
          <w:sz w:val="24"/>
        </w:rPr>
        <w:t>等相同性质的合作</w:t>
      </w:r>
      <w:r w:rsidRPr="00F74563">
        <w:rPr>
          <w:rFonts w:asciiTheme="minorEastAsia" w:eastAsiaTheme="minorEastAsia" w:hAnsiTheme="minorEastAsia" w:hint="eastAsia"/>
          <w:sz w:val="24"/>
        </w:rPr>
        <w:t>，文中所述融资均为此意）。</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甲、丙双方应保证此次融资经股东会同意且得以顺利实施。</w:t>
      </w:r>
      <w:r w:rsidR="00246F7F" w:rsidRPr="00246F7F">
        <w:rPr>
          <w:rFonts w:asciiTheme="minorEastAsia" w:eastAsiaTheme="minorEastAsia" w:hAnsiTheme="minorEastAsia" w:hint="eastAsia"/>
          <w:sz w:val="24"/>
        </w:rPr>
        <w:t>签订本</w:t>
      </w:r>
      <w:r w:rsidR="00246F7F">
        <w:rPr>
          <w:rFonts w:asciiTheme="minorEastAsia" w:eastAsiaTheme="minorEastAsia" w:hAnsiTheme="minorEastAsia" w:hint="eastAsia"/>
          <w:sz w:val="24"/>
        </w:rPr>
        <w:t>协议</w:t>
      </w:r>
      <w:r w:rsidR="00246F7F" w:rsidRPr="00246F7F">
        <w:rPr>
          <w:rFonts w:asciiTheme="minorEastAsia" w:eastAsiaTheme="minorEastAsia" w:hAnsiTheme="minorEastAsia" w:hint="eastAsia"/>
          <w:sz w:val="24"/>
        </w:rPr>
        <w:t>的委托人知晓并</w:t>
      </w:r>
      <w:r w:rsidR="00246F7F">
        <w:rPr>
          <w:rFonts w:asciiTheme="minorEastAsia" w:eastAsiaTheme="minorEastAsia" w:hAnsiTheme="minorEastAsia" w:hint="eastAsia"/>
          <w:sz w:val="24"/>
        </w:rPr>
        <w:t>认同</w:t>
      </w:r>
      <w:r w:rsidR="00246F7F" w:rsidRPr="00246F7F">
        <w:rPr>
          <w:rFonts w:asciiTheme="minorEastAsia" w:eastAsiaTheme="minorEastAsia" w:hAnsiTheme="minorEastAsia" w:hint="eastAsia"/>
          <w:sz w:val="24"/>
        </w:rPr>
        <w:t>此</w:t>
      </w:r>
      <w:r w:rsidR="00246F7F">
        <w:rPr>
          <w:rFonts w:asciiTheme="minorEastAsia" w:eastAsiaTheme="minorEastAsia" w:hAnsiTheme="minorEastAsia" w:hint="eastAsia"/>
          <w:sz w:val="24"/>
        </w:rPr>
        <w:t>合同权利义务和</w:t>
      </w:r>
      <w:r w:rsidR="00246F7F" w:rsidRPr="00246F7F">
        <w:rPr>
          <w:rFonts w:asciiTheme="minorEastAsia" w:eastAsiaTheme="minorEastAsia" w:hAnsiTheme="minorEastAsia" w:hint="eastAsia"/>
          <w:sz w:val="24"/>
        </w:rPr>
        <w:t>责任</w:t>
      </w:r>
      <w:r w:rsidR="00246F7F">
        <w:rPr>
          <w:rFonts w:asciiTheme="minorEastAsia" w:eastAsiaTheme="minorEastAsia" w:hAnsiTheme="minorEastAsia" w:hint="eastAsia"/>
          <w:sz w:val="24"/>
        </w:rPr>
        <w:t>。</w:t>
      </w:r>
      <w:r w:rsidR="00246F7F" w:rsidRPr="00F74563">
        <w:rPr>
          <w:rFonts w:asciiTheme="minorEastAsia" w:eastAsiaTheme="minorEastAsia" w:hAnsiTheme="minorEastAsia"/>
          <w:sz w:val="24"/>
        </w:rPr>
        <w:t xml:space="preserve"> </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乙方负责与乙方所引荐的资金方进行前期接触，负责协调甲方与乙方所引荐的资金方之间的信息沟通与交流，并应勤勉尽责地协助甲方完成融资。</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融资的具体融资金额、融资方式、融资成本等要素信息由甲方与乙方所引荐的资金方之间商讨确定，并以所签署的正式投融资协议为准，相关融资要素应符合甲方要求。</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为顺利完成融资工作，甲方应全力配合乙方的顾问服务工作，真实、准确、完</w:t>
      </w:r>
      <w:r w:rsidRPr="00F74563">
        <w:rPr>
          <w:rFonts w:asciiTheme="minorEastAsia" w:eastAsiaTheme="minorEastAsia" w:hAnsiTheme="minorEastAsia" w:hint="eastAsia"/>
          <w:sz w:val="24"/>
        </w:rPr>
        <w:lastRenderedPageBreak/>
        <w:t>整地提供乙方或乙方所引荐的资金方所需要的相关资料与信息。</w:t>
      </w:r>
    </w:p>
    <w:p w:rsidR="00F35878" w:rsidRPr="00F74563"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对涉及本协议服务范围内的相关事项，甲方与乙方所引荐的资金方进行接触、谈判、调查之前或之后，以及在此次融资成功后甲方与乙方所引荐的资金方后续对接其它融资项目之前或之后，甲方应向乙方通报主要内容或议题，并征询乙方的意见，非经乙方书面同意，甲方不得绕过乙方直接与乙方引荐的相关资金方、金融机构等私自进行洽谈交易。</w:t>
      </w:r>
    </w:p>
    <w:p w:rsidR="00F35878" w:rsidRPr="004740C7" w:rsidRDefault="003C19DA" w:rsidP="004740C7">
      <w:pPr>
        <w:pStyle w:val="a9"/>
        <w:numPr>
          <w:ilvl w:val="0"/>
          <w:numId w:val="4"/>
        </w:numPr>
        <w:spacing w:line="276" w:lineRule="auto"/>
        <w:ind w:firstLineChars="0"/>
        <w:jc w:val="left"/>
        <w:rPr>
          <w:rFonts w:asciiTheme="minorEastAsia" w:eastAsiaTheme="minorEastAsia" w:hAnsiTheme="minorEastAsia"/>
          <w:sz w:val="24"/>
        </w:rPr>
      </w:pPr>
      <w:r w:rsidRPr="00F74563">
        <w:rPr>
          <w:rFonts w:asciiTheme="minorEastAsia" w:eastAsiaTheme="minorEastAsia" w:hAnsiTheme="minorEastAsia" w:hint="eastAsia"/>
          <w:sz w:val="24"/>
        </w:rPr>
        <w:t>甲方若发生本协议第一条第5款所述情形而与资金方最终达成合作的，视同该合作是乙方的融资顾问服务工作的成果，甲方仍应按照本协议的第二条的约定向乙方支付融资顾问费用。</w:t>
      </w:r>
    </w:p>
    <w:p w:rsidR="004740C7"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融资顾问服务费用及支付方式</w:t>
      </w:r>
    </w:p>
    <w:p w:rsidR="00F35878" w:rsidRPr="004740C7" w:rsidRDefault="003C19DA" w:rsidP="004740C7">
      <w:pPr>
        <w:pStyle w:val="a9"/>
        <w:numPr>
          <w:ilvl w:val="0"/>
          <w:numId w:val="6"/>
        </w:numPr>
        <w:spacing w:line="276" w:lineRule="auto"/>
        <w:ind w:firstLineChars="0"/>
        <w:rPr>
          <w:rFonts w:asciiTheme="minorEastAsia" w:eastAsiaTheme="minorEastAsia" w:hAnsiTheme="minorEastAsia"/>
          <w:bCs/>
          <w:sz w:val="24"/>
        </w:rPr>
      </w:pPr>
      <w:r w:rsidRPr="004740C7">
        <w:rPr>
          <w:rFonts w:asciiTheme="minorEastAsia" w:eastAsiaTheme="minorEastAsia" w:hAnsiTheme="minorEastAsia" w:hint="eastAsia"/>
          <w:sz w:val="24"/>
        </w:rPr>
        <w:t>融资顾问服务费用：</w:t>
      </w:r>
    </w:p>
    <w:p w:rsidR="00F35878" w:rsidRPr="004740C7" w:rsidRDefault="003C19DA" w:rsidP="004740C7">
      <w:pPr>
        <w:pStyle w:val="a9"/>
        <w:numPr>
          <w:ilvl w:val="1"/>
          <w:numId w:val="9"/>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如甲方最终与乙方所引荐的资金方达成融资协议并完成融资工作，甲方同意向乙方支付如下融资顾问费用：</w:t>
      </w:r>
    </w:p>
    <w:p w:rsidR="00F35878" w:rsidRPr="00F74563" w:rsidRDefault="003C19DA" w:rsidP="004740C7">
      <w:pPr>
        <w:pStyle w:val="a9"/>
        <w:numPr>
          <w:ilvl w:val="1"/>
          <w:numId w:val="9"/>
        </w:numPr>
        <w:spacing w:line="276" w:lineRule="auto"/>
        <w:ind w:firstLineChars="0"/>
        <w:rPr>
          <w:rFonts w:asciiTheme="minorEastAsia" w:eastAsiaTheme="minorEastAsia" w:hAnsiTheme="minorEastAsia"/>
          <w:sz w:val="24"/>
        </w:rPr>
      </w:pPr>
      <w:r w:rsidRPr="00F74563">
        <w:rPr>
          <w:rFonts w:asciiTheme="minorEastAsia" w:eastAsiaTheme="minorEastAsia" w:hAnsiTheme="minorEastAsia" w:hint="eastAsia"/>
          <w:sz w:val="24"/>
        </w:rPr>
        <w:t>融资顾问费用金额=甲方从乙方所引荐的资金方获得的实际融资金额的</w:t>
      </w:r>
      <w:r w:rsidR="002317AF" w:rsidRPr="002317AF">
        <w:rPr>
          <w:rFonts w:asciiTheme="minorEastAsia" w:eastAsiaTheme="minorEastAsia" w:hAnsiTheme="minorEastAsia" w:hint="eastAsia"/>
          <w:sz w:val="24"/>
        </w:rPr>
        <w:t>×</w:t>
      </w:r>
      <w:r w:rsidRPr="00F74563">
        <w:rPr>
          <w:rFonts w:asciiTheme="minorEastAsia" w:eastAsiaTheme="minorEastAsia" w:hAnsiTheme="minorEastAsia" w:hint="eastAsia"/>
          <w:sz w:val="24"/>
        </w:rPr>
        <w:t>%</w:t>
      </w:r>
      <w:r w:rsidR="000A7124">
        <w:rPr>
          <w:rFonts w:asciiTheme="minorEastAsia" w:eastAsiaTheme="minorEastAsia" w:hAnsiTheme="minorEastAsia" w:hint="eastAsia"/>
          <w:sz w:val="24"/>
        </w:rPr>
        <w:t>，即实际融资额的百分之</w:t>
      </w:r>
      <w:r w:rsidR="002317AF" w:rsidRPr="002317AF">
        <w:rPr>
          <w:rFonts w:asciiTheme="minorEastAsia" w:eastAsiaTheme="minorEastAsia" w:hAnsiTheme="minorEastAsia" w:hint="eastAsia"/>
          <w:sz w:val="24"/>
        </w:rPr>
        <w:t>×</w:t>
      </w:r>
      <w:r w:rsidRPr="00F74563">
        <w:rPr>
          <w:rFonts w:asciiTheme="minorEastAsia" w:eastAsiaTheme="minorEastAsia" w:hAnsiTheme="minorEastAsia" w:hint="eastAsia"/>
          <w:sz w:val="24"/>
        </w:rPr>
        <w:t>。</w:t>
      </w:r>
    </w:p>
    <w:p w:rsidR="00F35878" w:rsidRPr="00F74563" w:rsidRDefault="003C19DA" w:rsidP="004740C7">
      <w:pPr>
        <w:pStyle w:val="a9"/>
        <w:numPr>
          <w:ilvl w:val="0"/>
          <w:numId w:val="6"/>
        </w:numPr>
        <w:spacing w:line="276" w:lineRule="auto"/>
        <w:ind w:firstLineChars="0"/>
        <w:rPr>
          <w:rFonts w:asciiTheme="minorEastAsia" w:eastAsiaTheme="minorEastAsia" w:hAnsiTheme="minorEastAsia"/>
          <w:sz w:val="24"/>
        </w:rPr>
      </w:pPr>
      <w:r w:rsidRPr="00F74563">
        <w:rPr>
          <w:rFonts w:asciiTheme="minorEastAsia" w:eastAsiaTheme="minorEastAsia" w:hAnsiTheme="minorEastAsia" w:hint="eastAsia"/>
          <w:sz w:val="24"/>
        </w:rPr>
        <w:t>甲方应在</w:t>
      </w:r>
      <w:r w:rsidR="000A7124">
        <w:rPr>
          <w:rFonts w:asciiTheme="minorEastAsia" w:eastAsiaTheme="minorEastAsia" w:hAnsiTheme="minorEastAsia" w:hint="eastAsia"/>
          <w:sz w:val="24"/>
        </w:rPr>
        <w:t>每一笔</w:t>
      </w:r>
      <w:r w:rsidRPr="00F74563">
        <w:rPr>
          <w:rFonts w:asciiTheme="minorEastAsia" w:eastAsiaTheme="minorEastAsia" w:hAnsiTheme="minorEastAsia" w:hint="eastAsia"/>
          <w:sz w:val="24"/>
        </w:rPr>
        <w:t>融资资金实际到账之日起</w:t>
      </w:r>
      <w:r w:rsidR="000A7124">
        <w:rPr>
          <w:rFonts w:asciiTheme="minorEastAsia" w:eastAsiaTheme="minorEastAsia" w:hAnsiTheme="minorEastAsia" w:hint="eastAsia"/>
          <w:sz w:val="24"/>
        </w:rPr>
        <w:t>5</w:t>
      </w:r>
      <w:r w:rsidRPr="00F74563">
        <w:rPr>
          <w:rFonts w:asciiTheme="minorEastAsia" w:eastAsiaTheme="minorEastAsia" w:hAnsiTheme="minorEastAsia" w:hint="eastAsia"/>
          <w:sz w:val="24"/>
        </w:rPr>
        <w:t>个工作日内，</w:t>
      </w:r>
      <w:r w:rsidR="000A7124">
        <w:rPr>
          <w:rFonts w:asciiTheme="minorEastAsia" w:eastAsiaTheme="minorEastAsia" w:hAnsiTheme="minorEastAsia" w:hint="eastAsia"/>
          <w:sz w:val="24"/>
        </w:rPr>
        <w:t>按上述1.2款约定比例</w:t>
      </w:r>
      <w:r w:rsidRPr="00F74563">
        <w:rPr>
          <w:rFonts w:asciiTheme="minorEastAsia" w:eastAsiaTheme="minorEastAsia" w:hAnsiTheme="minorEastAsia" w:hint="eastAsia"/>
          <w:sz w:val="24"/>
        </w:rPr>
        <w:t>向乙方支付上述融资顾问费用。</w:t>
      </w:r>
      <w:r w:rsidR="000A7124">
        <w:rPr>
          <w:rFonts w:asciiTheme="minorEastAsia" w:eastAsiaTheme="minorEastAsia" w:hAnsiTheme="minorEastAsia" w:hint="eastAsia"/>
          <w:sz w:val="24"/>
        </w:rPr>
        <w:t>如交易双方约定最后款项在未来一定阶段支付的，则甲方应在工商股权变更或项目交割后7日内支付全部余款。</w:t>
      </w:r>
      <w:r w:rsidR="004740C7" w:rsidRPr="00F74563">
        <w:rPr>
          <w:rFonts w:asciiTheme="minorEastAsia" w:eastAsiaTheme="minorEastAsia" w:hAnsiTheme="minorEastAsia" w:hint="eastAsia"/>
          <w:sz w:val="24"/>
        </w:rPr>
        <w:t>如甲方逾期支付，则应每逾期一日向乙方额外支付逾期应付未付总额的</w:t>
      </w:r>
      <w:r w:rsidR="004740C7">
        <w:rPr>
          <w:rFonts w:asciiTheme="minorEastAsia" w:eastAsiaTheme="minorEastAsia" w:hAnsiTheme="minorEastAsia" w:hint="eastAsia"/>
          <w:sz w:val="24"/>
        </w:rPr>
        <w:t>0.3</w:t>
      </w:r>
      <w:r w:rsidR="004740C7" w:rsidRPr="00F74563">
        <w:rPr>
          <w:rFonts w:asciiTheme="minorEastAsia" w:eastAsiaTheme="minorEastAsia" w:hAnsiTheme="minorEastAsia" w:hint="eastAsia"/>
          <w:sz w:val="24"/>
        </w:rPr>
        <w:t>%的逾期违约罚金。</w:t>
      </w:r>
    </w:p>
    <w:p w:rsidR="004740C7" w:rsidRPr="004740C7" w:rsidRDefault="003C19DA" w:rsidP="004740C7">
      <w:pPr>
        <w:pStyle w:val="a9"/>
        <w:numPr>
          <w:ilvl w:val="0"/>
          <w:numId w:val="6"/>
        </w:numPr>
        <w:spacing w:line="276" w:lineRule="auto"/>
        <w:ind w:firstLineChars="0"/>
        <w:rPr>
          <w:rFonts w:asciiTheme="minorEastAsia" w:eastAsiaTheme="minorEastAsia" w:hAnsiTheme="minorEastAsia"/>
          <w:sz w:val="24"/>
        </w:rPr>
      </w:pPr>
      <w:r w:rsidRPr="00F74563">
        <w:rPr>
          <w:rFonts w:asciiTheme="minorEastAsia" w:eastAsiaTheme="minorEastAsia" w:hAnsiTheme="minorEastAsia" w:hint="eastAsia"/>
          <w:sz w:val="24"/>
        </w:rPr>
        <w:t>对于上述甲方应向乙方按时足额支付融资顾问费用的义务，丙方承担连带责任。</w:t>
      </w:r>
    </w:p>
    <w:p w:rsidR="00F35878"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法律适用及争议解决</w:t>
      </w:r>
      <w:r w:rsidRPr="004740C7">
        <w:rPr>
          <w:rFonts w:asciiTheme="minorEastAsia" w:eastAsiaTheme="minorEastAsia" w:hAnsiTheme="minorEastAsia" w:hint="eastAsia"/>
          <w:b/>
          <w:bCs/>
          <w:sz w:val="24"/>
        </w:rPr>
        <w:tab/>
      </w:r>
    </w:p>
    <w:p w:rsidR="00F35878" w:rsidRPr="00F74563" w:rsidRDefault="003C19DA" w:rsidP="00F74563">
      <w:pPr>
        <w:spacing w:line="276" w:lineRule="auto"/>
        <w:ind w:firstLineChars="200" w:firstLine="480"/>
        <w:rPr>
          <w:rFonts w:asciiTheme="minorEastAsia" w:eastAsiaTheme="minorEastAsia" w:hAnsiTheme="minorEastAsia"/>
          <w:sz w:val="24"/>
        </w:rPr>
      </w:pPr>
      <w:r w:rsidRPr="00F74563">
        <w:rPr>
          <w:rFonts w:asciiTheme="minorEastAsia" w:eastAsiaTheme="minorEastAsia" w:hAnsiTheme="minorEastAsia" w:hint="eastAsia"/>
          <w:sz w:val="24"/>
        </w:rPr>
        <w:t>本协议的订立、效力、解释、执行及争议的解决，均适用中国法律。本协议项下产生的任何争议，争议各方应协商解决。如果在任何一方以书面方式向对方提出此项争议之日起十五日内未能协商解决，争议各方应将争议提交</w:t>
      </w:r>
      <w:r w:rsidR="004740C7">
        <w:rPr>
          <w:rFonts w:asciiTheme="minorEastAsia" w:eastAsiaTheme="minorEastAsia" w:hAnsiTheme="minorEastAsia" w:hint="eastAsia"/>
          <w:sz w:val="24"/>
        </w:rPr>
        <w:t>广州市</w:t>
      </w:r>
      <w:r w:rsidRPr="00F74563">
        <w:rPr>
          <w:rFonts w:asciiTheme="minorEastAsia" w:eastAsiaTheme="minorEastAsia" w:hAnsiTheme="minorEastAsia" w:hint="eastAsia"/>
          <w:sz w:val="24"/>
        </w:rPr>
        <w:t>仲裁委员会进行仲裁。仲裁裁决是终局的，对本协议各方均具有法律效力。</w:t>
      </w:r>
    </w:p>
    <w:p w:rsidR="00F35878"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保密</w:t>
      </w:r>
    </w:p>
    <w:p w:rsidR="00F35878" w:rsidRPr="00F74563" w:rsidRDefault="003C19DA" w:rsidP="00F74563">
      <w:pPr>
        <w:spacing w:line="276" w:lineRule="auto"/>
        <w:ind w:firstLineChars="200" w:firstLine="480"/>
        <w:rPr>
          <w:rFonts w:asciiTheme="minorEastAsia" w:eastAsiaTheme="minorEastAsia" w:hAnsiTheme="minorEastAsia"/>
          <w:sz w:val="24"/>
        </w:rPr>
      </w:pPr>
      <w:r w:rsidRPr="00F74563">
        <w:rPr>
          <w:rFonts w:asciiTheme="minorEastAsia" w:eastAsiaTheme="minorEastAsia" w:hAnsiTheme="minorEastAsia" w:hint="eastAsia"/>
          <w:sz w:val="24"/>
        </w:rPr>
        <w:t>本协议（包括就其进行的所有讨论和谈判）均属严格保密信息，仅可供本协议各方直接参与项目及其各自的顾问和法律顾问独自使用，未经一方提前书面批准，不得披露给任何其他第三方，因法律规定、监管机关要求或为获得政府或监管批准而必须披露的除外。本协议各方应就保密义务告知项目参与人员。</w:t>
      </w:r>
    </w:p>
    <w:p w:rsidR="00F35878"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违约责任</w:t>
      </w:r>
    </w:p>
    <w:p w:rsidR="00F35878" w:rsidRPr="004740C7" w:rsidRDefault="003C19DA" w:rsidP="004740C7">
      <w:pPr>
        <w:spacing w:line="276" w:lineRule="auto"/>
        <w:ind w:firstLineChars="200" w:firstLine="480"/>
        <w:rPr>
          <w:rFonts w:asciiTheme="minorEastAsia" w:eastAsiaTheme="minorEastAsia" w:hAnsiTheme="minorEastAsia"/>
          <w:sz w:val="24"/>
        </w:rPr>
      </w:pPr>
      <w:r w:rsidRPr="00F74563">
        <w:rPr>
          <w:rFonts w:asciiTheme="minorEastAsia" w:eastAsiaTheme="minorEastAsia" w:hAnsiTheme="minorEastAsia" w:hint="eastAsia"/>
          <w:sz w:val="24"/>
        </w:rPr>
        <w:t>本协议各方应履行本协议所列明的相关义务，如果本协议任何一方违约，违约方应对守约方由此产生的直接经济损失承担赔偿责任。</w:t>
      </w:r>
    </w:p>
    <w:p w:rsidR="00F35878" w:rsidRPr="004740C7" w:rsidRDefault="003C19DA" w:rsidP="002317AF">
      <w:pPr>
        <w:numPr>
          <w:ilvl w:val="0"/>
          <w:numId w:val="1"/>
        </w:numPr>
        <w:spacing w:beforeLines="50" w:afterLines="50" w:line="276" w:lineRule="auto"/>
        <w:ind w:left="839" w:hanging="839"/>
        <w:rPr>
          <w:rFonts w:asciiTheme="minorEastAsia" w:eastAsiaTheme="minorEastAsia" w:hAnsiTheme="minorEastAsia"/>
          <w:b/>
          <w:bCs/>
          <w:sz w:val="24"/>
        </w:rPr>
      </w:pPr>
      <w:r w:rsidRPr="004740C7">
        <w:rPr>
          <w:rFonts w:asciiTheme="minorEastAsia" w:eastAsiaTheme="minorEastAsia" w:hAnsiTheme="minorEastAsia" w:hint="eastAsia"/>
          <w:b/>
          <w:bCs/>
          <w:sz w:val="24"/>
        </w:rPr>
        <w:t>附则</w:t>
      </w:r>
    </w:p>
    <w:p w:rsidR="00F35878" w:rsidRDefault="003C19DA" w:rsidP="004740C7">
      <w:pPr>
        <w:pStyle w:val="a9"/>
        <w:numPr>
          <w:ilvl w:val="0"/>
          <w:numId w:val="12"/>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lastRenderedPageBreak/>
        <w:t>本协议经甲、乙双方授权代表签字并经双方盖章，丙方签字后即生效。</w:t>
      </w:r>
    </w:p>
    <w:p w:rsidR="00560792" w:rsidRDefault="00560792" w:rsidP="004740C7">
      <w:pPr>
        <w:pStyle w:val="a9"/>
        <w:numPr>
          <w:ilvl w:val="0"/>
          <w:numId w:val="12"/>
        </w:numPr>
        <w:spacing w:line="276" w:lineRule="auto"/>
        <w:ind w:firstLineChars="0"/>
        <w:rPr>
          <w:rFonts w:asciiTheme="minorEastAsia" w:eastAsiaTheme="minorEastAsia" w:hAnsiTheme="minorEastAsia"/>
          <w:sz w:val="24"/>
        </w:rPr>
      </w:pPr>
      <w:r>
        <w:rPr>
          <w:rFonts w:asciiTheme="minorEastAsia" w:eastAsiaTheme="minorEastAsia" w:hAnsiTheme="minorEastAsia" w:hint="eastAsia"/>
          <w:sz w:val="24"/>
        </w:rPr>
        <w:t>三方传递信息的联系人及联系方式如下：</w:t>
      </w:r>
    </w:p>
    <w:p w:rsid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甲方联系人：             </w:t>
      </w:r>
    </w:p>
    <w:p w:rsid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电话：             邮箱：</w:t>
      </w:r>
    </w:p>
    <w:p w:rsid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乙方联系人： 丁伟华  </w:t>
      </w:r>
    </w:p>
    <w:p w:rsid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电话：18620885799 【邮箱同号】 邮箱：xwdepo@126.com</w:t>
      </w:r>
    </w:p>
    <w:p w:rsid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甲方联系人：            </w:t>
      </w:r>
    </w:p>
    <w:p w:rsidR="00560792" w:rsidRPr="00560792" w:rsidRDefault="00560792" w:rsidP="00560792">
      <w:pPr>
        <w:pStyle w:val="a9"/>
        <w:spacing w:line="276" w:lineRule="auto"/>
        <w:ind w:left="846"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电话：             邮箱：</w:t>
      </w:r>
    </w:p>
    <w:p w:rsidR="00F35878" w:rsidRDefault="003C19DA" w:rsidP="004740C7">
      <w:pPr>
        <w:pStyle w:val="a9"/>
        <w:numPr>
          <w:ilvl w:val="0"/>
          <w:numId w:val="12"/>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本协议一式肆份，甲、丙双方各执壹份，乙方执贰份，具同等的法律效力。</w:t>
      </w:r>
    </w:p>
    <w:p w:rsidR="00F35878" w:rsidRPr="004740C7" w:rsidRDefault="003C19DA" w:rsidP="004740C7">
      <w:pPr>
        <w:pStyle w:val="a9"/>
        <w:numPr>
          <w:ilvl w:val="0"/>
          <w:numId w:val="12"/>
        </w:numPr>
        <w:spacing w:line="276" w:lineRule="auto"/>
        <w:ind w:firstLineChars="0"/>
        <w:rPr>
          <w:rFonts w:asciiTheme="minorEastAsia" w:eastAsiaTheme="minorEastAsia" w:hAnsiTheme="minorEastAsia"/>
          <w:sz w:val="24"/>
        </w:rPr>
      </w:pPr>
      <w:r w:rsidRPr="004740C7">
        <w:rPr>
          <w:rFonts w:asciiTheme="minorEastAsia" w:eastAsiaTheme="minorEastAsia" w:hAnsiTheme="minorEastAsia" w:hint="eastAsia"/>
          <w:sz w:val="24"/>
        </w:rPr>
        <w:t>本协议未尽事宜，经甲、乙、丙三方充分协商后，可另行签署补充协议进行约定，补充协议与本协议具有同等的法律效力。</w:t>
      </w:r>
    </w:p>
    <w:p w:rsidR="004740C7" w:rsidRPr="00F74563" w:rsidRDefault="004740C7" w:rsidP="00F74563">
      <w:pPr>
        <w:pStyle w:val="Default"/>
        <w:spacing w:line="276" w:lineRule="auto"/>
        <w:ind w:firstLineChars="200" w:firstLine="480"/>
        <w:jc w:val="both"/>
        <w:rPr>
          <w:rFonts w:asciiTheme="minorEastAsia" w:eastAsiaTheme="minorEastAsia" w:hAnsiTheme="minorEastAsia"/>
        </w:rPr>
      </w:pPr>
    </w:p>
    <w:p w:rsidR="00F35878"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以下无正文</w:t>
      </w: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w:t>
      </w: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代表</w:t>
      </w: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乙方：广州市南派企业管理咨询有限公司</w:t>
      </w:r>
    </w:p>
    <w:p w:rsidR="00560792" w:rsidRDefault="00560792" w:rsidP="00F74563">
      <w:pPr>
        <w:spacing w:line="276" w:lineRule="auto"/>
        <w:ind w:firstLineChars="200" w:firstLine="480"/>
        <w:rPr>
          <w:rFonts w:asciiTheme="minorEastAsia" w:eastAsiaTheme="minorEastAsia" w:hAnsiTheme="minorEastAsia"/>
          <w:sz w:val="24"/>
        </w:rPr>
      </w:pPr>
    </w:p>
    <w:p w:rsidR="00560792" w:rsidRPr="00F74563"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代表：</w:t>
      </w:r>
    </w:p>
    <w:p w:rsidR="00F35878" w:rsidRPr="00F74563" w:rsidRDefault="00F35878" w:rsidP="00F74563">
      <w:pPr>
        <w:spacing w:line="276" w:lineRule="auto"/>
        <w:ind w:firstLineChars="200" w:firstLine="480"/>
        <w:rPr>
          <w:rFonts w:asciiTheme="minorEastAsia" w:eastAsiaTheme="minorEastAsia" w:hAnsiTheme="minorEastAsia"/>
          <w:sz w:val="24"/>
        </w:rPr>
      </w:pPr>
    </w:p>
    <w:p w:rsidR="00F35878" w:rsidRPr="00F74563" w:rsidRDefault="00F35878" w:rsidP="00F74563">
      <w:pPr>
        <w:spacing w:line="276" w:lineRule="auto"/>
        <w:ind w:firstLineChars="200" w:firstLine="480"/>
        <w:rPr>
          <w:rFonts w:asciiTheme="minorEastAsia" w:eastAsiaTheme="minorEastAsia" w:hAnsiTheme="minorEastAsia"/>
          <w:sz w:val="24"/>
        </w:rPr>
      </w:pPr>
    </w:p>
    <w:p w:rsidR="00F35878" w:rsidRDefault="00560792" w:rsidP="00F74563">
      <w:pPr>
        <w:spacing w:line="276" w:lineRule="auto"/>
        <w:ind w:firstLineChars="200" w:firstLine="480"/>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丙方：</w:t>
      </w:r>
      <w:r w:rsidR="00227464">
        <w:rPr>
          <w:rFonts w:asciiTheme="minorEastAsia" w:eastAsiaTheme="minorEastAsia" w:hAnsiTheme="minorEastAsia" w:hint="eastAsia"/>
          <w:sz w:val="24"/>
        </w:rPr>
        <w:t xml:space="preserve">　　　　　　　　　　　　　　　（甲方公司</w:t>
      </w:r>
      <w:r w:rsidR="00AA3791">
        <w:rPr>
          <w:rFonts w:asciiTheme="minorEastAsia" w:eastAsiaTheme="minorEastAsia" w:hAnsiTheme="minorEastAsia" w:hint="eastAsia"/>
          <w:sz w:val="24"/>
        </w:rPr>
        <w:t>和项目</w:t>
      </w:r>
      <w:r w:rsidR="00227464">
        <w:rPr>
          <w:rFonts w:asciiTheme="minorEastAsia" w:eastAsiaTheme="minorEastAsia" w:hAnsiTheme="minorEastAsia" w:hint="eastAsia"/>
          <w:sz w:val="24"/>
        </w:rPr>
        <w:t>实际控制人或股东代表）</w:t>
      </w: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代表：</w:t>
      </w: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sz w:val="24"/>
        </w:rPr>
      </w:pPr>
    </w:p>
    <w:p w:rsidR="00560792" w:rsidRDefault="00560792" w:rsidP="00F74563">
      <w:pPr>
        <w:spacing w:line="276" w:lineRule="auto"/>
        <w:ind w:firstLineChars="200" w:firstLine="480"/>
        <w:rPr>
          <w:rFonts w:asciiTheme="minorEastAsia" w:eastAsiaTheme="minorEastAsia" w:hAnsiTheme="minorEastAsia" w:hint="eastAsia"/>
          <w:sz w:val="24"/>
        </w:rPr>
      </w:pPr>
    </w:p>
    <w:p w:rsidR="002317AF" w:rsidRDefault="002317AF" w:rsidP="00F74563">
      <w:pPr>
        <w:spacing w:line="276" w:lineRule="auto"/>
        <w:ind w:firstLineChars="200" w:firstLine="480"/>
        <w:rPr>
          <w:rFonts w:asciiTheme="minorEastAsia" w:eastAsiaTheme="minorEastAsia" w:hAnsiTheme="minorEastAsia"/>
          <w:sz w:val="24"/>
        </w:rPr>
      </w:pPr>
    </w:p>
    <w:p w:rsidR="00560792" w:rsidRDefault="00560792" w:rsidP="00227464">
      <w:pPr>
        <w:spacing w:line="276" w:lineRule="auto"/>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时间：</w:t>
      </w:r>
      <w:r w:rsidR="00227464">
        <w:rPr>
          <w:rFonts w:asciiTheme="minorEastAsia" w:eastAsiaTheme="minorEastAsia" w:hAnsiTheme="minorEastAsia" w:hint="eastAsia"/>
          <w:sz w:val="24"/>
        </w:rPr>
        <w:t>２０２１年８月　　日</w:t>
      </w:r>
    </w:p>
    <w:p w:rsidR="00227464" w:rsidRDefault="00227464" w:rsidP="00F74563">
      <w:pPr>
        <w:spacing w:line="276" w:lineRule="auto"/>
        <w:ind w:firstLineChars="200" w:firstLine="480"/>
        <w:rPr>
          <w:rFonts w:asciiTheme="minorEastAsia" w:eastAsiaTheme="minorEastAsia" w:hAnsiTheme="minorEastAsia"/>
          <w:sz w:val="24"/>
        </w:rPr>
      </w:pPr>
    </w:p>
    <w:p w:rsidR="00246F7F" w:rsidRDefault="00246F7F" w:rsidP="00F74563">
      <w:pPr>
        <w:spacing w:line="276" w:lineRule="auto"/>
        <w:ind w:firstLineChars="200" w:firstLine="480"/>
        <w:rPr>
          <w:rFonts w:asciiTheme="minorEastAsia" w:eastAsiaTheme="minorEastAsia" w:hAnsiTheme="minorEastAsia"/>
          <w:sz w:val="24"/>
        </w:rPr>
      </w:pPr>
    </w:p>
    <w:p w:rsidR="00227464" w:rsidRDefault="00227464" w:rsidP="00F74563">
      <w:pPr>
        <w:spacing w:line="276" w:lineRule="auto"/>
        <w:ind w:firstLineChars="200" w:firstLine="480"/>
        <w:rPr>
          <w:rFonts w:asciiTheme="minorEastAsia" w:eastAsiaTheme="minorEastAsia" w:hAnsiTheme="minorEastAsia"/>
          <w:sz w:val="24"/>
        </w:rPr>
      </w:pPr>
    </w:p>
    <w:p w:rsidR="00227464" w:rsidRDefault="00227464" w:rsidP="00F74563">
      <w:pPr>
        <w:spacing w:line="276" w:lineRule="auto"/>
        <w:ind w:firstLineChars="200" w:firstLine="480"/>
        <w:rPr>
          <w:rFonts w:asciiTheme="minorEastAsia" w:eastAsiaTheme="minorEastAsia" w:hAnsiTheme="minorEastAsia"/>
          <w:sz w:val="24"/>
        </w:rPr>
      </w:pPr>
    </w:p>
    <w:p w:rsidR="00227464" w:rsidRPr="00246F7F" w:rsidRDefault="00246F7F" w:rsidP="00227464">
      <w:pPr>
        <w:jc w:val="center"/>
        <w:rPr>
          <w:rFonts w:ascii="宋体" w:hAnsi="宋体"/>
          <w:b/>
          <w:bCs/>
          <w:sz w:val="28"/>
          <w:szCs w:val="28"/>
        </w:rPr>
      </w:pPr>
      <w:r w:rsidRPr="00246F7F">
        <w:rPr>
          <w:rFonts w:ascii="宋体" w:hAnsi="宋体" w:hint="eastAsia"/>
          <w:b/>
          <w:bCs/>
          <w:sz w:val="28"/>
          <w:szCs w:val="28"/>
        </w:rPr>
        <w:lastRenderedPageBreak/>
        <w:t>乙方</w:t>
      </w:r>
      <w:r w:rsidR="00227464" w:rsidRPr="00246F7F">
        <w:rPr>
          <w:rFonts w:ascii="宋体" w:hAnsi="宋体" w:hint="eastAsia"/>
          <w:b/>
          <w:bCs/>
          <w:sz w:val="28"/>
          <w:szCs w:val="28"/>
        </w:rPr>
        <w:t>推荐的“投资方/收购方/合作方”名单及资料签收表</w:t>
      </w:r>
    </w:p>
    <w:p w:rsidR="00227464" w:rsidRPr="007429EE" w:rsidRDefault="00227464" w:rsidP="00227464">
      <w:pPr>
        <w:jc w:val="left"/>
        <w:rPr>
          <w:rFonts w:ascii="宋体" w:hAnsi="宋体"/>
          <w:bCs/>
          <w:szCs w:val="21"/>
        </w:rPr>
      </w:pPr>
      <w:r>
        <w:rPr>
          <w:rFonts w:ascii="宋体" w:hAnsi="宋体" w:hint="eastAsia"/>
          <w:b/>
          <w:bCs/>
          <w:szCs w:val="21"/>
        </w:rPr>
        <w:t xml:space="preserve">  </w:t>
      </w:r>
      <w:r w:rsidRPr="007429EE">
        <w:rPr>
          <w:rFonts w:ascii="宋体" w:hAnsi="宋体" w:hint="eastAsia"/>
          <w:bCs/>
          <w:szCs w:val="21"/>
        </w:rPr>
        <w:t>此表由乙方提供“投资信息”给项目方时，填写投资方/收购方公司或个人信息后，由项目方签收，通过邮件提供信息视同签收</w:t>
      </w:r>
    </w:p>
    <w:tbl>
      <w:tblPr>
        <w:tblpPr w:leftFromText="180" w:rightFromText="180" w:vertAnchor="text" w:horzAnchor="page" w:tblpX="1357" w:tblpY="2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3"/>
        <w:gridCol w:w="3793"/>
        <w:gridCol w:w="1636"/>
        <w:gridCol w:w="1414"/>
        <w:gridCol w:w="1954"/>
      </w:tblGrid>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r>
              <w:rPr>
                <w:rFonts w:ascii="宋体" w:hAnsi="宋体" w:hint="eastAsia"/>
                <w:b/>
                <w:bCs/>
                <w:sz w:val="24"/>
              </w:rPr>
              <w:t>序号</w:t>
            </w: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center"/>
              <w:rPr>
                <w:rFonts w:ascii="宋体" w:hAnsi="宋体"/>
                <w:b/>
                <w:bCs/>
                <w:sz w:val="24"/>
              </w:rPr>
            </w:pPr>
            <w:r>
              <w:rPr>
                <w:rFonts w:ascii="宋体" w:hAnsi="宋体" w:hint="eastAsia"/>
                <w:b/>
                <w:bCs/>
                <w:sz w:val="24"/>
              </w:rPr>
              <w:t>意向投资方/收购方名称</w:t>
            </w: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center"/>
              <w:rPr>
                <w:rFonts w:ascii="宋体" w:hAnsi="宋体"/>
                <w:b/>
                <w:bCs/>
                <w:sz w:val="24"/>
              </w:rPr>
            </w:pPr>
            <w:r>
              <w:rPr>
                <w:rFonts w:ascii="宋体" w:hAnsi="宋体" w:hint="eastAsia"/>
                <w:b/>
                <w:bCs/>
                <w:sz w:val="24"/>
              </w:rPr>
              <w:t>签收时间</w:t>
            </w: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center"/>
              <w:rPr>
                <w:rFonts w:ascii="宋体" w:hAnsi="宋体"/>
                <w:b/>
                <w:bCs/>
                <w:sz w:val="24"/>
              </w:rPr>
            </w:pPr>
            <w:r>
              <w:rPr>
                <w:rFonts w:ascii="宋体" w:hAnsi="宋体" w:hint="eastAsia"/>
                <w:b/>
                <w:bCs/>
                <w:sz w:val="24"/>
              </w:rPr>
              <w:t>签收人</w:t>
            </w: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center"/>
              <w:rPr>
                <w:rFonts w:ascii="宋体" w:hAnsi="宋体"/>
                <w:b/>
                <w:bCs/>
                <w:sz w:val="24"/>
              </w:rPr>
            </w:pPr>
            <w:r>
              <w:rPr>
                <w:rFonts w:ascii="宋体" w:hAnsi="宋体" w:hint="eastAsia"/>
                <w:b/>
                <w:bCs/>
                <w:sz w:val="24"/>
              </w:rPr>
              <w:t>备注</w:t>
            </w: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r w:rsidR="00227464" w:rsidTr="00933B6D">
        <w:tc>
          <w:tcPr>
            <w:tcW w:w="973" w:type="dxa"/>
            <w:tcBorders>
              <w:top w:val="single" w:sz="4" w:space="0" w:color="000000"/>
              <w:left w:val="single" w:sz="4" w:space="0" w:color="000000"/>
              <w:bottom w:val="single" w:sz="4" w:space="0" w:color="000000"/>
              <w:right w:val="single" w:sz="4" w:space="0" w:color="000000"/>
            </w:tcBorders>
          </w:tcPr>
          <w:p w:rsidR="00227464" w:rsidRDefault="00227464" w:rsidP="00227464">
            <w:pPr>
              <w:numPr>
                <w:ilvl w:val="0"/>
                <w:numId w:val="13"/>
              </w:numPr>
              <w:spacing w:line="600" w:lineRule="auto"/>
              <w:jc w:val="center"/>
              <w:rPr>
                <w:rFonts w:ascii="宋体" w:hAnsi="宋体"/>
                <w:b/>
                <w:bCs/>
                <w:sz w:val="24"/>
              </w:rPr>
            </w:pPr>
          </w:p>
        </w:tc>
        <w:tc>
          <w:tcPr>
            <w:tcW w:w="3793"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636"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41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c>
          <w:tcPr>
            <w:tcW w:w="1954" w:type="dxa"/>
            <w:tcBorders>
              <w:top w:val="single" w:sz="4" w:space="0" w:color="000000"/>
              <w:left w:val="single" w:sz="4" w:space="0" w:color="000000"/>
              <w:bottom w:val="single" w:sz="4" w:space="0" w:color="000000"/>
              <w:right w:val="single" w:sz="4" w:space="0" w:color="000000"/>
            </w:tcBorders>
          </w:tcPr>
          <w:p w:rsidR="00227464" w:rsidRDefault="00227464" w:rsidP="00933B6D">
            <w:pPr>
              <w:spacing w:line="600" w:lineRule="auto"/>
              <w:jc w:val="left"/>
              <w:rPr>
                <w:rFonts w:ascii="宋体" w:hAnsi="宋体"/>
                <w:b/>
                <w:bCs/>
                <w:sz w:val="24"/>
              </w:rPr>
            </w:pPr>
          </w:p>
        </w:tc>
      </w:tr>
    </w:tbl>
    <w:p w:rsidR="00227464" w:rsidRDefault="00227464" w:rsidP="00227464">
      <w:pPr>
        <w:jc w:val="left"/>
        <w:rPr>
          <w:rFonts w:ascii="宋体" w:hAnsi="宋体"/>
          <w:b/>
          <w:bCs/>
          <w:sz w:val="24"/>
        </w:rPr>
      </w:pPr>
    </w:p>
    <w:p w:rsidR="00227464" w:rsidRDefault="00227464" w:rsidP="00227464">
      <w:pPr>
        <w:jc w:val="left"/>
        <w:rPr>
          <w:rFonts w:ascii="宋体" w:hAnsi="宋体"/>
          <w:b/>
          <w:bCs/>
          <w:sz w:val="24"/>
        </w:rPr>
      </w:pPr>
    </w:p>
    <w:p w:rsidR="00227464" w:rsidRDefault="00227464" w:rsidP="00227464">
      <w:pPr>
        <w:rPr>
          <w:rFonts w:ascii="宋体" w:hAnsi="宋体"/>
          <w:b/>
          <w:bCs/>
          <w:sz w:val="24"/>
        </w:rPr>
      </w:pPr>
    </w:p>
    <w:p w:rsidR="00227464" w:rsidRPr="00F74563" w:rsidRDefault="00227464" w:rsidP="00F74563">
      <w:pPr>
        <w:spacing w:line="276" w:lineRule="auto"/>
        <w:ind w:firstLineChars="200" w:firstLine="480"/>
        <w:rPr>
          <w:rFonts w:asciiTheme="minorEastAsia" w:eastAsiaTheme="minorEastAsia" w:hAnsiTheme="minorEastAsia"/>
          <w:sz w:val="24"/>
        </w:rPr>
      </w:pPr>
    </w:p>
    <w:sectPr w:rsidR="00227464" w:rsidRPr="00F74563" w:rsidSect="00F74563">
      <w:footerReference w:type="default" r:id="rId9"/>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D1" w:rsidRDefault="005D2ED1" w:rsidP="00F35878">
      <w:r>
        <w:separator/>
      </w:r>
    </w:p>
  </w:endnote>
  <w:endnote w:type="continuationSeparator" w:id="1">
    <w:p w:rsidR="005D2ED1" w:rsidRDefault="005D2ED1" w:rsidP="00F3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78" w:rsidRDefault="006870AE">
    <w:pPr>
      <w:pStyle w:val="a5"/>
      <w:jc w:val="center"/>
    </w:pPr>
    <w:r>
      <w:rPr>
        <w:b/>
        <w:sz w:val="24"/>
        <w:szCs w:val="24"/>
      </w:rPr>
      <w:fldChar w:fldCharType="begin"/>
    </w:r>
    <w:r w:rsidR="003C19DA">
      <w:rPr>
        <w:b/>
      </w:rPr>
      <w:instrText>PAGE</w:instrText>
    </w:r>
    <w:r>
      <w:rPr>
        <w:b/>
        <w:sz w:val="24"/>
        <w:szCs w:val="24"/>
      </w:rPr>
      <w:fldChar w:fldCharType="separate"/>
    </w:r>
    <w:r w:rsidR="002317AF">
      <w:rPr>
        <w:b/>
        <w:noProof/>
      </w:rPr>
      <w:t>1</w:t>
    </w:r>
    <w:r>
      <w:rPr>
        <w:b/>
        <w:sz w:val="24"/>
        <w:szCs w:val="24"/>
      </w:rPr>
      <w:fldChar w:fldCharType="end"/>
    </w:r>
    <w:r w:rsidR="003C19DA">
      <w:rPr>
        <w:lang w:val="zh-CN"/>
      </w:rPr>
      <w:t xml:space="preserve"> / </w:t>
    </w:r>
    <w:r>
      <w:rPr>
        <w:b/>
        <w:sz w:val="24"/>
        <w:szCs w:val="24"/>
      </w:rPr>
      <w:fldChar w:fldCharType="begin"/>
    </w:r>
    <w:r w:rsidR="003C19DA">
      <w:rPr>
        <w:b/>
      </w:rPr>
      <w:instrText>NUMPAGES</w:instrText>
    </w:r>
    <w:r>
      <w:rPr>
        <w:b/>
        <w:sz w:val="24"/>
        <w:szCs w:val="24"/>
      </w:rPr>
      <w:fldChar w:fldCharType="separate"/>
    </w:r>
    <w:r w:rsidR="002317AF">
      <w:rPr>
        <w:b/>
        <w:noProof/>
      </w:rPr>
      <w:t>4</w:t>
    </w:r>
    <w:r>
      <w:rPr>
        <w:b/>
        <w:sz w:val="24"/>
        <w:szCs w:val="24"/>
      </w:rPr>
      <w:fldChar w:fldCharType="end"/>
    </w:r>
  </w:p>
  <w:p w:rsidR="00F35878" w:rsidRDefault="00F358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D1" w:rsidRDefault="005D2ED1" w:rsidP="00F35878">
      <w:r>
        <w:separator/>
      </w:r>
    </w:p>
  </w:footnote>
  <w:footnote w:type="continuationSeparator" w:id="1">
    <w:p w:rsidR="005D2ED1" w:rsidRDefault="005D2ED1" w:rsidP="00F35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第%1条"/>
      <w:lvlJc w:val="left"/>
      <w:pPr>
        <w:tabs>
          <w:tab w:val="left" w:pos="840"/>
        </w:tabs>
        <w:ind w:left="840" w:hanging="840"/>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E21643"/>
    <w:multiLevelType w:val="hybridMultilevel"/>
    <w:tmpl w:val="7A82731C"/>
    <w:lvl w:ilvl="0" w:tplc="36ACC8D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41158F"/>
    <w:multiLevelType w:val="hybridMultilevel"/>
    <w:tmpl w:val="6FDA8336"/>
    <w:lvl w:ilvl="0" w:tplc="36ACC8D6">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3D72099"/>
    <w:multiLevelType w:val="hybridMultilevel"/>
    <w:tmpl w:val="7C58CC42"/>
    <w:lvl w:ilvl="0" w:tplc="36ACC8D6">
      <w:start w:val="1"/>
      <w:numFmt w:val="decimal"/>
      <w:lvlText w:val="%1、"/>
      <w:lvlJc w:val="left"/>
      <w:pPr>
        <w:ind w:left="1691" w:hanging="420"/>
      </w:pPr>
      <w:rPr>
        <w:rFonts w:hint="eastAsia"/>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4">
    <w:nsid w:val="388867DD"/>
    <w:multiLevelType w:val="hybridMultilevel"/>
    <w:tmpl w:val="AA8EA2BC"/>
    <w:lvl w:ilvl="0" w:tplc="36ACC8D6">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F57913"/>
    <w:multiLevelType w:val="multilevel"/>
    <w:tmpl w:val="275412B0"/>
    <w:lvl w:ilvl="0">
      <w:start w:val="1"/>
      <w:numFmt w:val="decimal"/>
      <w:lvlText w:val="%1."/>
      <w:lvlJc w:val="left"/>
      <w:pPr>
        <w:ind w:left="1080" w:hanging="1080"/>
      </w:pPr>
      <w:rPr>
        <w:rFonts w:hint="default"/>
      </w:rPr>
    </w:lvl>
    <w:lvl w:ilvl="1">
      <w:start w:val="1"/>
      <w:numFmt w:val="decimal"/>
      <w:lvlText w:val="%1.%2、"/>
      <w:lvlJc w:val="left"/>
      <w:pPr>
        <w:ind w:left="1560" w:hanging="108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6">
    <w:nsid w:val="42543FED"/>
    <w:multiLevelType w:val="hybridMultilevel"/>
    <w:tmpl w:val="F1C0F03A"/>
    <w:lvl w:ilvl="0" w:tplc="CED4496A">
      <w:start w:val="6"/>
      <w:numFmt w:val="decimal"/>
      <w:lvlText w:val="7.%1."/>
      <w:lvlJc w:val="left"/>
      <w:pPr>
        <w:ind w:left="900" w:hanging="420"/>
      </w:pPr>
      <w:rPr>
        <w:rFonts w:hint="eastAsia"/>
      </w:rPr>
    </w:lvl>
    <w:lvl w:ilvl="1" w:tplc="CED4496A">
      <w:start w:val="6"/>
      <w:numFmt w:val="decimal"/>
      <w:lvlText w:val="7.%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70D70BD"/>
    <w:multiLevelType w:val="hybridMultilevel"/>
    <w:tmpl w:val="4CFE0B0E"/>
    <w:lvl w:ilvl="0" w:tplc="8FC287BA">
      <w:start w:val="1"/>
      <w:numFmt w:val="decimal"/>
      <w:lvlText w:val="7.%1."/>
      <w:lvlJc w:val="left"/>
      <w:pPr>
        <w:ind w:left="846" w:hanging="420"/>
      </w:pPr>
      <w:rPr>
        <w:rFonts w:hint="eastAsia"/>
      </w:rPr>
    </w:lvl>
    <w:lvl w:ilvl="1" w:tplc="41F009BC">
      <w:start w:val="1"/>
      <w:numFmt w:val="decimal"/>
      <w:lvlText w:val="1.%2、"/>
      <w:lvlJc w:val="left"/>
      <w:pPr>
        <w:ind w:left="1271"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5542EF"/>
    <w:multiLevelType w:val="multilevel"/>
    <w:tmpl w:val="475542E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61BA79C0"/>
    <w:multiLevelType w:val="hybridMultilevel"/>
    <w:tmpl w:val="7EA2A036"/>
    <w:lvl w:ilvl="0" w:tplc="36ACC8D6">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6E5638CA"/>
    <w:multiLevelType w:val="hybridMultilevel"/>
    <w:tmpl w:val="7EA2A036"/>
    <w:lvl w:ilvl="0" w:tplc="36ACC8D6">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7E387C7B"/>
    <w:multiLevelType w:val="multilevel"/>
    <w:tmpl w:val="7E387C7B"/>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3F6CDB"/>
    <w:multiLevelType w:val="multilevel"/>
    <w:tmpl w:val="B784C0C4"/>
    <w:lvl w:ilvl="0">
      <w:start w:val="1"/>
      <w:numFmt w:val="decimal"/>
      <w:lvlText w:val="%1、"/>
      <w:lvlJc w:val="left"/>
      <w:pPr>
        <w:ind w:left="840" w:hanging="36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8"/>
  </w:num>
  <w:num w:numId="3">
    <w:abstractNumId w:val="1"/>
  </w:num>
  <w:num w:numId="4">
    <w:abstractNumId w:val="12"/>
  </w:num>
  <w:num w:numId="5">
    <w:abstractNumId w:val="4"/>
  </w:num>
  <w:num w:numId="6">
    <w:abstractNumId w:val="9"/>
  </w:num>
  <w:num w:numId="7">
    <w:abstractNumId w:val="6"/>
  </w:num>
  <w:num w:numId="8">
    <w:abstractNumId w:val="5"/>
  </w:num>
  <w:num w:numId="9">
    <w:abstractNumId w:val="7"/>
  </w:num>
  <w:num w:numId="10">
    <w:abstractNumId w:val="2"/>
  </w:num>
  <w:num w:numId="11">
    <w:abstractNumId w:val="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1E9"/>
    <w:rsid w:val="000001A9"/>
    <w:rsid w:val="00084462"/>
    <w:rsid w:val="000A09BC"/>
    <w:rsid w:val="000A7124"/>
    <w:rsid w:val="000B13A5"/>
    <w:rsid w:val="0010257F"/>
    <w:rsid w:val="00126853"/>
    <w:rsid w:val="001411E9"/>
    <w:rsid w:val="001477DB"/>
    <w:rsid w:val="0016441A"/>
    <w:rsid w:val="00174DE7"/>
    <w:rsid w:val="0019561B"/>
    <w:rsid w:val="001A6A79"/>
    <w:rsid w:val="001B53D3"/>
    <w:rsid w:val="002071C8"/>
    <w:rsid w:val="00227464"/>
    <w:rsid w:val="002317AF"/>
    <w:rsid w:val="002361FD"/>
    <w:rsid w:val="00246F7F"/>
    <w:rsid w:val="00295974"/>
    <w:rsid w:val="002C0720"/>
    <w:rsid w:val="002C64EF"/>
    <w:rsid w:val="002E0227"/>
    <w:rsid w:val="002F1619"/>
    <w:rsid w:val="0032067E"/>
    <w:rsid w:val="003226A4"/>
    <w:rsid w:val="003413B4"/>
    <w:rsid w:val="003747C1"/>
    <w:rsid w:val="003A35DD"/>
    <w:rsid w:val="003C19DA"/>
    <w:rsid w:val="00415655"/>
    <w:rsid w:val="00432E5F"/>
    <w:rsid w:val="004373AB"/>
    <w:rsid w:val="004525C4"/>
    <w:rsid w:val="004740C7"/>
    <w:rsid w:val="004A235F"/>
    <w:rsid w:val="004B4ED2"/>
    <w:rsid w:val="004E772E"/>
    <w:rsid w:val="00521F23"/>
    <w:rsid w:val="005343FF"/>
    <w:rsid w:val="005525FD"/>
    <w:rsid w:val="00560792"/>
    <w:rsid w:val="00567823"/>
    <w:rsid w:val="00570A33"/>
    <w:rsid w:val="00577862"/>
    <w:rsid w:val="00582AC6"/>
    <w:rsid w:val="005D24C0"/>
    <w:rsid w:val="005D2ED1"/>
    <w:rsid w:val="00602489"/>
    <w:rsid w:val="006111F6"/>
    <w:rsid w:val="00624DE9"/>
    <w:rsid w:val="00636E80"/>
    <w:rsid w:val="00636FF5"/>
    <w:rsid w:val="0066383D"/>
    <w:rsid w:val="006870AE"/>
    <w:rsid w:val="006973CC"/>
    <w:rsid w:val="006A58FC"/>
    <w:rsid w:val="006D7EF1"/>
    <w:rsid w:val="0072008C"/>
    <w:rsid w:val="0073134C"/>
    <w:rsid w:val="00771E91"/>
    <w:rsid w:val="007A1E12"/>
    <w:rsid w:val="007E1BA9"/>
    <w:rsid w:val="008143EB"/>
    <w:rsid w:val="00840A39"/>
    <w:rsid w:val="00865942"/>
    <w:rsid w:val="00895129"/>
    <w:rsid w:val="008C0401"/>
    <w:rsid w:val="008C583D"/>
    <w:rsid w:val="008C678E"/>
    <w:rsid w:val="008D7F3B"/>
    <w:rsid w:val="008F556C"/>
    <w:rsid w:val="00921CAA"/>
    <w:rsid w:val="009556F0"/>
    <w:rsid w:val="00987CF3"/>
    <w:rsid w:val="009A1C6C"/>
    <w:rsid w:val="009A6B5C"/>
    <w:rsid w:val="00A16154"/>
    <w:rsid w:val="00A7337C"/>
    <w:rsid w:val="00A8191A"/>
    <w:rsid w:val="00A82587"/>
    <w:rsid w:val="00AA3791"/>
    <w:rsid w:val="00AC4E61"/>
    <w:rsid w:val="00B057DF"/>
    <w:rsid w:val="00B40283"/>
    <w:rsid w:val="00B905C4"/>
    <w:rsid w:val="00B9188D"/>
    <w:rsid w:val="00BB69C3"/>
    <w:rsid w:val="00BB75FA"/>
    <w:rsid w:val="00BE1BAF"/>
    <w:rsid w:val="00BE5921"/>
    <w:rsid w:val="00C61B7B"/>
    <w:rsid w:val="00C7392C"/>
    <w:rsid w:val="00C846ED"/>
    <w:rsid w:val="00CC2A35"/>
    <w:rsid w:val="00CC3C5A"/>
    <w:rsid w:val="00CE64C6"/>
    <w:rsid w:val="00CF4FE5"/>
    <w:rsid w:val="00D1524E"/>
    <w:rsid w:val="00D301B2"/>
    <w:rsid w:val="00D44898"/>
    <w:rsid w:val="00D5219D"/>
    <w:rsid w:val="00D7468E"/>
    <w:rsid w:val="00D95FFA"/>
    <w:rsid w:val="00DF6199"/>
    <w:rsid w:val="00E33801"/>
    <w:rsid w:val="00E403F5"/>
    <w:rsid w:val="00E41FBC"/>
    <w:rsid w:val="00E45567"/>
    <w:rsid w:val="00EC1814"/>
    <w:rsid w:val="00ED2489"/>
    <w:rsid w:val="00F147CB"/>
    <w:rsid w:val="00F160A1"/>
    <w:rsid w:val="00F35878"/>
    <w:rsid w:val="00F42C95"/>
    <w:rsid w:val="00F53DC8"/>
    <w:rsid w:val="00F73683"/>
    <w:rsid w:val="00F74563"/>
    <w:rsid w:val="00F8464D"/>
    <w:rsid w:val="00F925A6"/>
    <w:rsid w:val="427049C4"/>
    <w:rsid w:val="5C940354"/>
    <w:rsid w:val="74DF3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35878"/>
    <w:pPr>
      <w:jc w:val="left"/>
    </w:pPr>
  </w:style>
  <w:style w:type="paragraph" w:styleId="a4">
    <w:name w:val="Balloon Text"/>
    <w:basedOn w:val="a"/>
    <w:link w:val="Char0"/>
    <w:rsid w:val="00F35878"/>
    <w:rPr>
      <w:sz w:val="18"/>
      <w:szCs w:val="18"/>
    </w:rPr>
  </w:style>
  <w:style w:type="paragraph" w:styleId="a5">
    <w:name w:val="footer"/>
    <w:basedOn w:val="a"/>
    <w:link w:val="Char1"/>
    <w:uiPriority w:val="99"/>
    <w:unhideWhenUsed/>
    <w:rsid w:val="00F35878"/>
    <w:pPr>
      <w:tabs>
        <w:tab w:val="center" w:pos="4153"/>
        <w:tab w:val="right" w:pos="8306"/>
      </w:tabs>
      <w:snapToGrid w:val="0"/>
      <w:jc w:val="left"/>
    </w:pPr>
    <w:rPr>
      <w:sz w:val="18"/>
      <w:szCs w:val="18"/>
    </w:rPr>
  </w:style>
  <w:style w:type="paragraph" w:styleId="a6">
    <w:name w:val="header"/>
    <w:basedOn w:val="a"/>
    <w:link w:val="Char2"/>
    <w:uiPriority w:val="99"/>
    <w:unhideWhenUsed/>
    <w:rsid w:val="00F3587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F35878"/>
    <w:rPr>
      <w:b/>
      <w:bCs/>
    </w:rPr>
  </w:style>
  <w:style w:type="character" w:styleId="a8">
    <w:name w:val="annotation reference"/>
    <w:basedOn w:val="a0"/>
    <w:uiPriority w:val="99"/>
    <w:semiHidden/>
    <w:unhideWhenUsed/>
    <w:qFormat/>
    <w:rsid w:val="00F35878"/>
    <w:rPr>
      <w:sz w:val="21"/>
      <w:szCs w:val="21"/>
    </w:rPr>
  </w:style>
  <w:style w:type="paragraph" w:customStyle="1" w:styleId="Default">
    <w:name w:val="Default"/>
    <w:qFormat/>
    <w:rsid w:val="00F35878"/>
    <w:pPr>
      <w:widowControl w:val="0"/>
      <w:autoSpaceDE w:val="0"/>
      <w:autoSpaceDN w:val="0"/>
      <w:adjustRightInd w:val="0"/>
    </w:pPr>
    <w:rPr>
      <w:rFonts w:ascii="黑体" w:eastAsia="黑体" w:cs="黑体"/>
      <w:color w:val="000000"/>
      <w:sz w:val="24"/>
      <w:szCs w:val="24"/>
    </w:rPr>
  </w:style>
  <w:style w:type="character" w:customStyle="1" w:styleId="Char2">
    <w:name w:val="页眉 Char"/>
    <w:basedOn w:val="a0"/>
    <w:link w:val="a6"/>
    <w:uiPriority w:val="99"/>
    <w:qFormat/>
    <w:rsid w:val="00F35878"/>
    <w:rPr>
      <w:sz w:val="18"/>
      <w:szCs w:val="18"/>
    </w:rPr>
  </w:style>
  <w:style w:type="character" w:customStyle="1" w:styleId="Char1">
    <w:name w:val="页脚 Char"/>
    <w:basedOn w:val="a0"/>
    <w:link w:val="a5"/>
    <w:uiPriority w:val="99"/>
    <w:qFormat/>
    <w:rsid w:val="00F35878"/>
    <w:rPr>
      <w:sz w:val="18"/>
      <w:szCs w:val="18"/>
    </w:rPr>
  </w:style>
  <w:style w:type="character" w:customStyle="1" w:styleId="Char0">
    <w:name w:val="批注框文本 Char"/>
    <w:basedOn w:val="a0"/>
    <w:link w:val="a4"/>
    <w:qFormat/>
    <w:rsid w:val="00F35878"/>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F35878"/>
    <w:rPr>
      <w:rFonts w:ascii="Times New Roman" w:eastAsia="宋体" w:hAnsi="Times New Roman" w:cs="Times New Roman"/>
      <w:szCs w:val="24"/>
    </w:rPr>
  </w:style>
  <w:style w:type="character" w:customStyle="1" w:styleId="Char3">
    <w:name w:val="批注主题 Char"/>
    <w:basedOn w:val="Char"/>
    <w:link w:val="a7"/>
    <w:uiPriority w:val="99"/>
    <w:semiHidden/>
    <w:qFormat/>
    <w:rsid w:val="00F35878"/>
    <w:rPr>
      <w:rFonts w:ascii="Times New Roman" w:eastAsia="宋体" w:hAnsi="Times New Roman" w:cs="Times New Roman"/>
      <w:b/>
      <w:bCs/>
      <w:szCs w:val="24"/>
    </w:rPr>
  </w:style>
  <w:style w:type="paragraph" w:styleId="a9">
    <w:name w:val="List Paragraph"/>
    <w:basedOn w:val="a"/>
    <w:uiPriority w:val="34"/>
    <w:qFormat/>
    <w:rsid w:val="00F3587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B07AB2-41B2-40A4-A7F8-4243DEE301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325</Words>
  <Characters>1857</Characters>
  <Application>Microsoft Office Word</Application>
  <DocSecurity>0</DocSecurity>
  <Lines>15</Lines>
  <Paragraphs>4</Paragraphs>
  <ScaleCrop>false</ScaleCrop>
  <Company>Senbowe</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中能电力投资有限公司</dc:title>
  <dc:creator>Gushubing</dc:creator>
  <cp:lastModifiedBy>Senbowe</cp:lastModifiedBy>
  <cp:revision>8</cp:revision>
  <cp:lastPrinted>2020-06-26T08:32:00Z</cp:lastPrinted>
  <dcterms:created xsi:type="dcterms:W3CDTF">2020-06-26T08:32:00Z</dcterms:created>
  <dcterms:modified xsi:type="dcterms:W3CDTF">2021-08-06T03:08:00Z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13678D8C58F748DCBF67E087B81372C0</vt:lpwstr>
  </property>
</Properties>
</file>